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1AD7" w14:textId="22DC954C" w:rsidR="00125F61" w:rsidRDefault="00125F61" w:rsidP="00125F61">
      <w:pPr>
        <w:rPr>
          <w:rFonts w:ascii="Century Gothic" w:hAnsi="Century Gothic"/>
          <w:b/>
          <w:sz w:val="24"/>
          <w:szCs w:val="24"/>
        </w:rPr>
      </w:pPr>
    </w:p>
    <w:p w14:paraId="6093D5BC" w14:textId="2B5A6676" w:rsidR="00D26E4D" w:rsidRPr="00D26E4D" w:rsidRDefault="00D26E4D" w:rsidP="0091190C">
      <w:pPr>
        <w:spacing w:before="120"/>
        <w:rPr>
          <w:rFonts w:ascii="Rockwell" w:hAnsi="Rockwell"/>
          <w:b/>
          <w:bCs/>
          <w:color w:val="002060"/>
          <w:sz w:val="32"/>
          <w:szCs w:val="32"/>
        </w:rPr>
      </w:pPr>
      <w:r w:rsidRPr="00D26E4D">
        <w:rPr>
          <w:rFonts w:ascii="Rockwell" w:hAnsi="Rockwell"/>
          <w:b/>
          <w:bCs/>
          <w:color w:val="002060"/>
          <w:sz w:val="32"/>
          <w:szCs w:val="32"/>
        </w:rPr>
        <w:t>Exemplar Review Directions</w:t>
      </w:r>
    </w:p>
    <w:p w14:paraId="70243D60" w14:textId="71B7064A" w:rsidR="0091190C" w:rsidRPr="00D26E4D" w:rsidRDefault="0091190C" w:rsidP="0091190C">
      <w:pPr>
        <w:spacing w:before="120"/>
        <w:rPr>
          <w:i/>
          <w:iCs/>
        </w:rPr>
      </w:pPr>
      <w:r w:rsidRPr="00D26E4D">
        <w:rPr>
          <w:i/>
          <w:iCs/>
        </w:rPr>
        <w:t>Educators often work in isolation, both from colleagues within their school, and perhaps more often, from fellow educators in other schools.  This can lead to teams feeling like they need to “reinvent the wheel” when they are designing new or refined strategies to try out in their practice.  However, a great catalyst for such work can come from examining how other schools have approached similar areas of work to stoke ideas and highlight useful starting points for teams to use in designing strategies for their own context.</w:t>
      </w:r>
      <w:r w:rsidR="00D26E4D" w:rsidRPr="00D26E4D">
        <w:rPr>
          <w:i/>
          <w:iCs/>
        </w:rPr>
        <w:t xml:space="preserve"> </w:t>
      </w:r>
    </w:p>
    <w:p w14:paraId="03585A68" w14:textId="77777777" w:rsidR="0091190C" w:rsidRPr="00C352BD" w:rsidRDefault="0091190C" w:rsidP="00125F61">
      <w:pPr>
        <w:rPr>
          <w:sz w:val="24"/>
          <w:szCs w:val="24"/>
        </w:rPr>
      </w:pPr>
    </w:p>
    <w:tbl>
      <w:tblPr>
        <w:tblStyle w:val="TableGrid"/>
        <w:tblW w:w="0" w:type="auto"/>
        <w:tblLook w:val="04A0" w:firstRow="1" w:lastRow="0" w:firstColumn="1" w:lastColumn="0" w:noHBand="0" w:noVBand="1"/>
      </w:tblPr>
      <w:tblGrid>
        <w:gridCol w:w="4674"/>
        <w:gridCol w:w="4676"/>
      </w:tblGrid>
      <w:tr w:rsidR="00125F61" w:rsidRPr="00C352BD" w14:paraId="43409E1A" w14:textId="77777777" w:rsidTr="0091190C">
        <w:trPr>
          <w:trHeight w:val="576"/>
        </w:trPr>
        <w:tc>
          <w:tcPr>
            <w:tcW w:w="9576" w:type="dxa"/>
            <w:gridSpan w:val="2"/>
            <w:shd w:val="clear" w:color="auto" w:fill="D9D9D9" w:themeFill="background1" w:themeFillShade="D9"/>
            <w:vAlign w:val="center"/>
          </w:tcPr>
          <w:p w14:paraId="551C8C56" w14:textId="77777777" w:rsidR="00125F61" w:rsidRPr="0091190C" w:rsidRDefault="00125F61" w:rsidP="004E314E">
            <w:pPr>
              <w:rPr>
                <w:rFonts w:ascii="Rockwell" w:hAnsi="Rockwell"/>
                <w:color w:val="19385D"/>
                <w:sz w:val="24"/>
                <w:szCs w:val="24"/>
              </w:rPr>
            </w:pPr>
            <w:r w:rsidRPr="0091190C">
              <w:rPr>
                <w:rFonts w:ascii="Rockwell" w:hAnsi="Rockwell"/>
                <w:b/>
                <w:color w:val="19385D"/>
                <w:sz w:val="24"/>
                <w:szCs w:val="24"/>
              </w:rPr>
              <w:t xml:space="preserve">Time: </w:t>
            </w:r>
            <w:r w:rsidRPr="0091190C">
              <w:rPr>
                <w:rFonts w:ascii="Calibri" w:hAnsi="Calibri"/>
                <w:color w:val="000000" w:themeColor="text1"/>
                <w:sz w:val="24"/>
                <w:szCs w:val="24"/>
              </w:rPr>
              <w:t>Approximately 45 minutes - 1 hour of meeting time</w:t>
            </w:r>
          </w:p>
        </w:tc>
      </w:tr>
      <w:tr w:rsidR="00125F61" w:rsidRPr="00C352BD" w14:paraId="16333AA5" w14:textId="77777777" w:rsidTr="0091190C">
        <w:trPr>
          <w:trHeight w:val="4364"/>
        </w:trPr>
        <w:tc>
          <w:tcPr>
            <w:tcW w:w="9576" w:type="dxa"/>
            <w:gridSpan w:val="2"/>
          </w:tcPr>
          <w:p w14:paraId="62560FDF" w14:textId="62F0BA64" w:rsidR="0091190C" w:rsidRPr="0091190C" w:rsidRDefault="0091190C" w:rsidP="0091190C">
            <w:pPr>
              <w:spacing w:before="120"/>
              <w:rPr>
                <w:rFonts w:ascii="Rockwell" w:hAnsi="Rockwell"/>
                <w:b/>
                <w:color w:val="19385D"/>
                <w:sz w:val="24"/>
                <w:szCs w:val="24"/>
              </w:rPr>
            </w:pPr>
            <w:r>
              <w:rPr>
                <w:rFonts w:ascii="Rockwell" w:hAnsi="Rockwell"/>
                <w:b/>
                <w:color w:val="19385D"/>
                <w:sz w:val="24"/>
                <w:szCs w:val="24"/>
              </w:rPr>
              <w:t>Typical Exemplar Review Steps</w:t>
            </w:r>
          </w:p>
          <w:p w14:paraId="66E11990" w14:textId="77777777" w:rsidR="00125F61" w:rsidRPr="0091190C" w:rsidRDefault="00125F61" w:rsidP="00125F61">
            <w:pPr>
              <w:pStyle w:val="ListParagraph"/>
              <w:numPr>
                <w:ilvl w:val="0"/>
                <w:numId w:val="2"/>
              </w:numPr>
              <w:spacing w:before="120"/>
              <w:contextualSpacing w:val="0"/>
            </w:pPr>
            <w:r w:rsidRPr="0091190C">
              <w:t>Having clarified the main goals for the team’s design efforts, identify a set of sample materials by drawing upon:</w:t>
            </w:r>
          </w:p>
          <w:p w14:paraId="649E9C2D" w14:textId="77777777" w:rsidR="00125F61" w:rsidRPr="0091190C" w:rsidRDefault="00125F61" w:rsidP="00125F61">
            <w:pPr>
              <w:pStyle w:val="ListParagraph"/>
              <w:numPr>
                <w:ilvl w:val="0"/>
                <w:numId w:val="3"/>
              </w:numPr>
              <w:spacing w:before="120"/>
              <w:ind w:left="1147"/>
              <w:contextualSpacing w:val="0"/>
            </w:pPr>
            <w:r w:rsidRPr="0091190C">
              <w:t>Your own knowledge and experience and that of colleagues</w:t>
            </w:r>
          </w:p>
          <w:p w14:paraId="33DA55A5" w14:textId="77777777" w:rsidR="00125F61" w:rsidRPr="0091190C" w:rsidRDefault="00125F61" w:rsidP="00125F61">
            <w:pPr>
              <w:pStyle w:val="ListParagraph"/>
              <w:numPr>
                <w:ilvl w:val="0"/>
                <w:numId w:val="3"/>
              </w:numPr>
              <w:spacing w:before="120"/>
              <w:ind w:left="1147"/>
              <w:contextualSpacing w:val="0"/>
            </w:pPr>
            <w:r w:rsidRPr="0091190C">
              <w:t>Samples available from reputable sources online</w:t>
            </w:r>
          </w:p>
          <w:p w14:paraId="5A1478FA" w14:textId="77777777" w:rsidR="00125F61" w:rsidRPr="0091190C" w:rsidRDefault="00125F61" w:rsidP="00125F61">
            <w:pPr>
              <w:pStyle w:val="ListParagraph"/>
              <w:numPr>
                <w:ilvl w:val="0"/>
                <w:numId w:val="3"/>
              </w:numPr>
              <w:spacing w:before="120"/>
              <w:ind w:left="1147"/>
              <w:contextualSpacing w:val="0"/>
            </w:pPr>
            <w:r w:rsidRPr="0091190C">
              <w:t xml:space="preserve">Publications on the topic that include samples from schools </w:t>
            </w:r>
          </w:p>
          <w:p w14:paraId="5E71E716" w14:textId="795EAE60" w:rsidR="00125F61" w:rsidRPr="0091190C" w:rsidRDefault="00125F61" w:rsidP="00125F61">
            <w:pPr>
              <w:pStyle w:val="ListParagraph"/>
              <w:numPr>
                <w:ilvl w:val="0"/>
                <w:numId w:val="2"/>
              </w:numPr>
              <w:spacing w:before="120"/>
              <w:contextualSpacing w:val="0"/>
            </w:pPr>
            <w:r w:rsidRPr="0091190C">
              <w:t xml:space="preserve">Review a varied set of exemplars with a graphic organizer that prompts teams to look closely at format and content and identify what they think could work for their goals, what </w:t>
            </w:r>
            <w:r w:rsidR="00EA4BA4">
              <w:t xml:space="preserve">questions or insights about </w:t>
            </w:r>
            <w:r w:rsidRPr="0091190C">
              <w:t>features</w:t>
            </w:r>
            <w:r w:rsidR="00EA4BA4">
              <w:t xml:space="preserve"> that</w:t>
            </w:r>
            <w:r w:rsidRPr="0091190C">
              <w:t xml:space="preserve"> they think </w:t>
            </w:r>
            <w:r w:rsidR="00EA4BA4">
              <w:t>might</w:t>
            </w:r>
            <w:r w:rsidRPr="0091190C">
              <w:t xml:space="preserve"> not work in their own context and why.</w:t>
            </w:r>
          </w:p>
          <w:p w14:paraId="52BB0FC8" w14:textId="77777777" w:rsidR="00125F61" w:rsidRPr="0091190C" w:rsidRDefault="00125F61" w:rsidP="00125F61">
            <w:pPr>
              <w:pStyle w:val="ListParagraph"/>
              <w:numPr>
                <w:ilvl w:val="0"/>
                <w:numId w:val="2"/>
              </w:numPr>
              <w:spacing w:before="120"/>
              <w:contextualSpacing w:val="0"/>
            </w:pPr>
            <w:r w:rsidRPr="0091190C">
              <w:t>Synthesize the ideas into key design points and considerations for the team.</w:t>
            </w:r>
          </w:p>
          <w:p w14:paraId="74E76946" w14:textId="184221AB" w:rsidR="00125F61" w:rsidRPr="0091190C" w:rsidRDefault="00125F61" w:rsidP="00125F61">
            <w:pPr>
              <w:pStyle w:val="ListParagraph"/>
              <w:numPr>
                <w:ilvl w:val="0"/>
                <w:numId w:val="2"/>
              </w:numPr>
              <w:spacing w:before="120"/>
              <w:contextualSpacing w:val="0"/>
              <w:rPr>
                <w:b/>
                <w:sz w:val="24"/>
                <w:szCs w:val="24"/>
              </w:rPr>
            </w:pPr>
            <w:r w:rsidRPr="0091190C">
              <w:t xml:space="preserve">Apply those ideas into creating </w:t>
            </w:r>
            <w:r w:rsidR="00A537F3">
              <w:t>a</w:t>
            </w:r>
            <w:r w:rsidRPr="0091190C">
              <w:t xml:space="preserve"> prototype </w:t>
            </w:r>
            <w:r w:rsidR="00A537F3">
              <w:t xml:space="preserve">of a practice or tool </w:t>
            </w:r>
            <w:r w:rsidRPr="0091190C">
              <w:t xml:space="preserve">to test, deciding whether it is most efficient to </w:t>
            </w:r>
            <w:r w:rsidR="00A537F3">
              <w:t>adapt</w:t>
            </w:r>
            <w:r w:rsidRPr="0091190C">
              <w:t xml:space="preserve"> an existing design or build a new design informed by the exemplars.</w:t>
            </w:r>
          </w:p>
          <w:p w14:paraId="6D594EDC" w14:textId="064A8BF2" w:rsidR="0091190C" w:rsidRPr="0091190C" w:rsidRDefault="0091190C" w:rsidP="0091190C">
            <w:pPr>
              <w:spacing w:before="120"/>
              <w:rPr>
                <w:b/>
                <w:sz w:val="24"/>
                <w:szCs w:val="24"/>
              </w:rPr>
            </w:pPr>
          </w:p>
        </w:tc>
      </w:tr>
      <w:tr w:rsidR="00125F61" w:rsidRPr="00C352BD" w14:paraId="45C7FC40" w14:textId="77777777" w:rsidTr="0091190C">
        <w:trPr>
          <w:trHeight w:val="3860"/>
        </w:trPr>
        <w:tc>
          <w:tcPr>
            <w:tcW w:w="4788" w:type="dxa"/>
          </w:tcPr>
          <w:p w14:paraId="465D94FF" w14:textId="77777777" w:rsidR="00125F61" w:rsidRPr="0091190C" w:rsidRDefault="00125F61" w:rsidP="004E314E">
            <w:pPr>
              <w:spacing w:before="120"/>
              <w:rPr>
                <w:rFonts w:ascii="Rockwell" w:hAnsi="Rockwell"/>
                <w:b/>
                <w:color w:val="19385D"/>
                <w:sz w:val="24"/>
                <w:szCs w:val="24"/>
              </w:rPr>
            </w:pPr>
            <w:r w:rsidRPr="0091190C">
              <w:rPr>
                <w:rFonts w:ascii="Rockwell" w:hAnsi="Rockwell"/>
                <w:b/>
                <w:color w:val="19385D"/>
                <w:sz w:val="24"/>
                <w:szCs w:val="24"/>
              </w:rPr>
              <w:t>Pros</w:t>
            </w:r>
          </w:p>
          <w:p w14:paraId="0F29D84D" w14:textId="77777777" w:rsidR="00125F61" w:rsidRPr="00AE724D" w:rsidRDefault="00125F61" w:rsidP="00125F61">
            <w:pPr>
              <w:pStyle w:val="ListParagraph"/>
              <w:numPr>
                <w:ilvl w:val="0"/>
                <w:numId w:val="1"/>
              </w:numPr>
              <w:spacing w:before="120"/>
              <w:ind w:left="450"/>
              <w:contextualSpacing w:val="0"/>
              <w:rPr>
                <w:szCs w:val="24"/>
              </w:rPr>
            </w:pPr>
            <w:r w:rsidRPr="00AE724D">
              <w:rPr>
                <w:szCs w:val="24"/>
              </w:rPr>
              <w:t>Can leverage the experience and learning of colleagues outside the team to more efficiently build new approaches to test out.</w:t>
            </w:r>
          </w:p>
          <w:p w14:paraId="535BB765" w14:textId="737BA59D" w:rsidR="00125F61" w:rsidRPr="00AE724D" w:rsidRDefault="00125F61" w:rsidP="00125F61">
            <w:pPr>
              <w:pStyle w:val="ListParagraph"/>
              <w:numPr>
                <w:ilvl w:val="0"/>
                <w:numId w:val="1"/>
              </w:numPr>
              <w:spacing w:before="120"/>
              <w:ind w:left="450"/>
              <w:contextualSpacing w:val="0"/>
              <w:rPr>
                <w:szCs w:val="24"/>
              </w:rPr>
            </w:pPr>
            <w:r w:rsidRPr="00AE724D">
              <w:rPr>
                <w:szCs w:val="24"/>
              </w:rPr>
              <w:t xml:space="preserve">Presents opportunities to highlight contrasts which can crystallize key design considerations for </w:t>
            </w:r>
            <w:r w:rsidR="00E230C0">
              <w:rPr>
                <w:szCs w:val="24"/>
              </w:rPr>
              <w:t>a</w:t>
            </w:r>
            <w:bookmarkStart w:id="0" w:name="_GoBack"/>
            <w:bookmarkEnd w:id="0"/>
            <w:r w:rsidRPr="00AE724D">
              <w:rPr>
                <w:szCs w:val="24"/>
              </w:rPr>
              <w:t xml:space="preserve"> team’s specific school context.</w:t>
            </w:r>
          </w:p>
          <w:p w14:paraId="00978B17" w14:textId="77777777" w:rsidR="00125F61" w:rsidRPr="00C352BD" w:rsidRDefault="00125F61" w:rsidP="00125F61">
            <w:pPr>
              <w:pStyle w:val="ListParagraph"/>
              <w:numPr>
                <w:ilvl w:val="0"/>
                <w:numId w:val="1"/>
              </w:numPr>
              <w:spacing w:before="120"/>
              <w:ind w:left="450"/>
              <w:contextualSpacing w:val="0"/>
              <w:rPr>
                <w:sz w:val="24"/>
                <w:szCs w:val="24"/>
              </w:rPr>
            </w:pPr>
            <w:r w:rsidRPr="00AE724D">
              <w:rPr>
                <w:szCs w:val="24"/>
              </w:rPr>
              <w:t>Opens opportunities for cross-school collaboration and learning as ideas get tested in multiple venues.</w:t>
            </w:r>
          </w:p>
        </w:tc>
        <w:tc>
          <w:tcPr>
            <w:tcW w:w="4788" w:type="dxa"/>
          </w:tcPr>
          <w:p w14:paraId="50BFAC53" w14:textId="77777777" w:rsidR="00125F61" w:rsidRPr="0091190C" w:rsidRDefault="00125F61" w:rsidP="004E314E">
            <w:pPr>
              <w:spacing w:before="120"/>
              <w:rPr>
                <w:rFonts w:ascii="Rockwell" w:hAnsi="Rockwell"/>
                <w:b/>
                <w:color w:val="19385D"/>
                <w:sz w:val="24"/>
                <w:szCs w:val="24"/>
              </w:rPr>
            </w:pPr>
            <w:r w:rsidRPr="0091190C">
              <w:rPr>
                <w:rFonts w:ascii="Rockwell" w:hAnsi="Rockwell"/>
                <w:b/>
                <w:color w:val="19385D"/>
                <w:sz w:val="24"/>
                <w:szCs w:val="24"/>
              </w:rPr>
              <w:t>Cons</w:t>
            </w:r>
          </w:p>
          <w:p w14:paraId="6442C41E" w14:textId="77777777" w:rsidR="00125F61" w:rsidRPr="00AE724D" w:rsidRDefault="00125F61" w:rsidP="00125F61">
            <w:pPr>
              <w:pStyle w:val="ListParagraph"/>
              <w:numPr>
                <w:ilvl w:val="0"/>
                <w:numId w:val="1"/>
              </w:numPr>
              <w:spacing w:before="120"/>
              <w:ind w:left="432"/>
              <w:contextualSpacing w:val="0"/>
              <w:rPr>
                <w:szCs w:val="24"/>
              </w:rPr>
            </w:pPr>
            <w:r w:rsidRPr="00AE724D">
              <w:rPr>
                <w:szCs w:val="24"/>
              </w:rPr>
              <w:t xml:space="preserve">It can be difficult to gather an informative set of exemplars for some practices, especially without someone </w:t>
            </w:r>
            <w:r>
              <w:rPr>
                <w:szCs w:val="24"/>
              </w:rPr>
              <w:t>who</w:t>
            </w:r>
            <w:r w:rsidRPr="00AE724D">
              <w:rPr>
                <w:szCs w:val="24"/>
              </w:rPr>
              <w:t xml:space="preserve"> has a cross-school perspective.</w:t>
            </w:r>
          </w:p>
          <w:p w14:paraId="706AA1A4" w14:textId="77777777" w:rsidR="00125F61" w:rsidRPr="00C352BD" w:rsidRDefault="00125F61" w:rsidP="00125F61">
            <w:pPr>
              <w:pStyle w:val="ListParagraph"/>
              <w:numPr>
                <w:ilvl w:val="0"/>
                <w:numId w:val="1"/>
              </w:numPr>
              <w:spacing w:before="120"/>
              <w:ind w:left="432"/>
              <w:contextualSpacing w:val="0"/>
              <w:rPr>
                <w:sz w:val="24"/>
                <w:szCs w:val="24"/>
              </w:rPr>
            </w:pPr>
            <w:r w:rsidRPr="00AE724D">
              <w:rPr>
                <w:szCs w:val="24"/>
              </w:rPr>
              <w:t>Some practices are necessarily so highly contextualized, reviewing outside resources is minimally helpful.</w:t>
            </w:r>
          </w:p>
        </w:tc>
      </w:tr>
    </w:tbl>
    <w:p w14:paraId="2424FDD7" w14:textId="77777777" w:rsidR="00DE3F67" w:rsidRDefault="00EF5478"/>
    <w:sectPr w:rsidR="00DE3F67" w:rsidSect="00BF71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DFA6" w14:textId="77777777" w:rsidR="00EF5478" w:rsidRDefault="00EF5478" w:rsidP="0091190C">
      <w:r>
        <w:separator/>
      </w:r>
    </w:p>
  </w:endnote>
  <w:endnote w:type="continuationSeparator" w:id="0">
    <w:p w14:paraId="441D4DAC" w14:textId="77777777" w:rsidR="00EF5478" w:rsidRDefault="00EF5478" w:rsidP="0091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53B4" w14:textId="4AD5C745" w:rsidR="0091190C" w:rsidRPr="0091190C" w:rsidRDefault="0091190C" w:rsidP="0091190C">
    <w:pPr>
      <w:pStyle w:val="Footer"/>
      <w:ind w:right="360"/>
      <w:rPr>
        <w:rFonts w:asciiTheme="majorHAnsi" w:hAnsiTheme="majorHAnsi"/>
        <w:i/>
        <w:color w:val="7F7F7F" w:themeColor="text1" w:themeTint="80"/>
        <w:sz w:val="18"/>
        <w:szCs w:val="18"/>
      </w:rPr>
    </w:pPr>
    <w:r w:rsidRPr="00D358DA">
      <w:rPr>
        <w:rFonts w:asciiTheme="majorHAnsi" w:hAnsiTheme="majorHAnsi"/>
        <w:i/>
        <w:color w:val="7F7F7F" w:themeColor="text1" w:themeTint="80"/>
        <w:sz w:val="18"/>
        <w:szCs w:val="18"/>
      </w:rPr>
      <w:t>Eskolta School Research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ECEF" w14:textId="77777777" w:rsidR="00EF5478" w:rsidRDefault="00EF5478" w:rsidP="0091190C">
      <w:r>
        <w:separator/>
      </w:r>
    </w:p>
  </w:footnote>
  <w:footnote w:type="continuationSeparator" w:id="0">
    <w:p w14:paraId="70F2CD87" w14:textId="77777777" w:rsidR="00EF5478" w:rsidRDefault="00EF5478" w:rsidP="0091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32FD" w14:textId="7A2E1484" w:rsidR="0091190C" w:rsidRPr="0091190C" w:rsidRDefault="0091190C" w:rsidP="0091190C">
    <w:pPr>
      <w:pStyle w:val="Header"/>
      <w:rPr>
        <w:rFonts w:cstheme="minorHAnsi"/>
        <w:bCs/>
        <w:noProof/>
        <w:color w:val="000000" w:themeColor="text1"/>
        <w:sz w:val="16"/>
        <w:szCs w:val="16"/>
      </w:rPr>
    </w:pPr>
    <w:r w:rsidRPr="0091190C">
      <w:rPr>
        <w:rFonts w:cstheme="minorHAnsi"/>
        <w:bCs/>
        <w:noProof/>
        <w:color w:val="000000" w:themeColor="text1"/>
        <w:sz w:val="16"/>
        <w:szCs w:val="16"/>
      </w:rPr>
      <w:drawing>
        <wp:anchor distT="0" distB="0" distL="114300" distR="114300" simplePos="0" relativeHeight="251660288" behindDoc="0" locked="0" layoutInCell="1" allowOverlap="1" wp14:anchorId="2ED422E2" wp14:editId="1B4B0FFF">
          <wp:simplePos x="0" y="0"/>
          <wp:positionH relativeFrom="column">
            <wp:posOffset>4863177</wp:posOffset>
          </wp:positionH>
          <wp:positionV relativeFrom="paragraph">
            <wp:posOffset>8255</wp:posOffset>
          </wp:positionV>
          <wp:extent cx="1036320" cy="337820"/>
          <wp:effectExtent l="0" t="0" r="508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Pr="0091190C">
      <w:rPr>
        <w:rFonts w:cstheme="minorHAnsi"/>
        <w:bCs/>
        <w:noProof/>
        <w:color w:val="000000" w:themeColor="text1"/>
        <w:sz w:val="16"/>
        <w:szCs w:val="16"/>
      </w:rPr>
      <mc:AlternateContent>
        <mc:Choice Requires="wps">
          <w:drawing>
            <wp:anchor distT="0" distB="0" distL="114300" distR="114300" simplePos="0" relativeHeight="251659264" behindDoc="1" locked="0" layoutInCell="1" allowOverlap="1" wp14:anchorId="29B15F96" wp14:editId="14ACCEF1">
              <wp:simplePos x="0" y="0"/>
              <wp:positionH relativeFrom="column">
                <wp:posOffset>-3078867</wp:posOffset>
              </wp:positionH>
              <wp:positionV relativeFrom="paragraph">
                <wp:posOffset>-468775</wp:posOffset>
              </wp:positionV>
              <wp:extent cx="10260957" cy="1005840"/>
              <wp:effectExtent l="0" t="0" r="1270" b="0"/>
              <wp:wrapNone/>
              <wp:docPr id="49" name="Rectangle 49"/>
              <wp:cNvGraphicFramePr/>
              <a:graphic xmlns:a="http://schemas.openxmlformats.org/drawingml/2006/main">
                <a:graphicData uri="http://schemas.microsoft.com/office/word/2010/wordprocessingShape">
                  <wps:wsp>
                    <wps:cNvSpPr/>
                    <wps:spPr>
                      <a:xfrm>
                        <a:off x="0" y="0"/>
                        <a:ext cx="10260957" cy="1005840"/>
                      </a:xfrm>
                      <a:prstGeom prst="rect">
                        <a:avLst/>
                      </a:prstGeom>
                      <a:solidFill>
                        <a:srgbClr val="A5A5A5"/>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07B4" id="Rectangle 49" o:spid="_x0000_s1026" style="position:absolute;margin-left:-242.45pt;margin-top:-36.9pt;width:807.95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" fillcolor="#a5a5a5" stroked="f" strokeweight="1pt"/>
          </w:pict>
        </mc:Fallback>
      </mc:AlternateContent>
    </w:r>
    <w:r w:rsidRPr="0091190C">
      <w:rPr>
        <w:rFonts w:cstheme="minorHAnsi"/>
        <w:bCs/>
        <w:noProof/>
        <w:color w:val="000000" w:themeColor="text1"/>
        <w:sz w:val="16"/>
        <w:szCs w:val="16"/>
      </w:rPr>
      <w:t>Methods for Facilitation 1</w:t>
    </w:r>
  </w:p>
  <w:p w14:paraId="43760786" w14:textId="0C1DF19F" w:rsidR="0091190C" w:rsidRPr="000F7718" w:rsidRDefault="00D26E4D" w:rsidP="0091190C">
    <w:pPr>
      <w:pStyle w:val="Header"/>
      <w:rPr>
        <w:rFonts w:cstheme="minorHAnsi"/>
        <w:b/>
        <w:color w:val="000000" w:themeColor="text1"/>
      </w:rPr>
    </w:pPr>
    <w:r>
      <w:rPr>
        <w:rFonts w:cstheme="minorHAnsi"/>
        <w:b/>
        <w:noProof/>
        <w:color w:val="000000" w:themeColor="text1"/>
      </w:rPr>
      <w:t>Facilitation for Transformation</w:t>
    </w:r>
  </w:p>
  <w:p w14:paraId="1296697B" w14:textId="6FEBDD8B" w:rsidR="0091190C" w:rsidRPr="0091190C" w:rsidRDefault="00D26E4D">
    <w:pPr>
      <w:pStyle w:val="Header"/>
      <w:rPr>
        <w:rFonts w:asciiTheme="majorHAnsi" w:hAnsiTheme="majorHAnsi"/>
        <w:color w:val="000000" w:themeColor="text1"/>
        <w:sz w:val="20"/>
        <w:szCs w:val="20"/>
      </w:rPr>
    </w:pPr>
    <w:r>
      <w:rPr>
        <w:rFonts w:asciiTheme="majorHAnsi" w:hAnsiTheme="majorHAnsi"/>
        <w:color w:val="000000" w:themeColor="text1"/>
        <w:sz w:val="20"/>
        <w:szCs w:val="20"/>
      </w:rPr>
      <w:t>Exemplar Review Directions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371BA"/>
    <w:multiLevelType w:val="hybridMultilevel"/>
    <w:tmpl w:val="F1584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42A59"/>
    <w:multiLevelType w:val="hybridMultilevel"/>
    <w:tmpl w:val="2AC89FFA"/>
    <w:lvl w:ilvl="0" w:tplc="E45050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3076A"/>
    <w:multiLevelType w:val="hybridMultilevel"/>
    <w:tmpl w:val="47BA0936"/>
    <w:lvl w:ilvl="0" w:tplc="04090001">
      <w:start w:val="1"/>
      <w:numFmt w:val="bullet"/>
      <w:lvlText w:val=""/>
      <w:lvlJc w:val="left"/>
      <w:pPr>
        <w:ind w:left="1957" w:hanging="360"/>
      </w:pPr>
      <w:rPr>
        <w:rFonts w:ascii="Symbol" w:hAnsi="Symbol" w:hint="default"/>
      </w:rPr>
    </w:lvl>
    <w:lvl w:ilvl="1" w:tplc="04090003" w:tentative="1">
      <w:start w:val="1"/>
      <w:numFmt w:val="bullet"/>
      <w:lvlText w:val="o"/>
      <w:lvlJc w:val="left"/>
      <w:pPr>
        <w:ind w:left="2677" w:hanging="360"/>
      </w:pPr>
      <w:rPr>
        <w:rFonts w:ascii="Courier New" w:hAnsi="Courier New" w:cs="Courier New" w:hint="default"/>
      </w:rPr>
    </w:lvl>
    <w:lvl w:ilvl="2" w:tplc="04090005" w:tentative="1">
      <w:start w:val="1"/>
      <w:numFmt w:val="bullet"/>
      <w:lvlText w:val=""/>
      <w:lvlJc w:val="left"/>
      <w:pPr>
        <w:ind w:left="3397" w:hanging="360"/>
      </w:pPr>
      <w:rPr>
        <w:rFonts w:ascii="Wingdings" w:hAnsi="Wingdings" w:hint="default"/>
      </w:rPr>
    </w:lvl>
    <w:lvl w:ilvl="3" w:tplc="04090001" w:tentative="1">
      <w:start w:val="1"/>
      <w:numFmt w:val="bullet"/>
      <w:lvlText w:val=""/>
      <w:lvlJc w:val="left"/>
      <w:pPr>
        <w:ind w:left="4117" w:hanging="360"/>
      </w:pPr>
      <w:rPr>
        <w:rFonts w:ascii="Symbol" w:hAnsi="Symbol" w:hint="default"/>
      </w:rPr>
    </w:lvl>
    <w:lvl w:ilvl="4" w:tplc="04090003" w:tentative="1">
      <w:start w:val="1"/>
      <w:numFmt w:val="bullet"/>
      <w:lvlText w:val="o"/>
      <w:lvlJc w:val="left"/>
      <w:pPr>
        <w:ind w:left="4837" w:hanging="360"/>
      </w:pPr>
      <w:rPr>
        <w:rFonts w:ascii="Courier New" w:hAnsi="Courier New" w:cs="Courier New" w:hint="default"/>
      </w:rPr>
    </w:lvl>
    <w:lvl w:ilvl="5" w:tplc="04090005" w:tentative="1">
      <w:start w:val="1"/>
      <w:numFmt w:val="bullet"/>
      <w:lvlText w:val=""/>
      <w:lvlJc w:val="left"/>
      <w:pPr>
        <w:ind w:left="5557" w:hanging="360"/>
      </w:pPr>
      <w:rPr>
        <w:rFonts w:ascii="Wingdings" w:hAnsi="Wingdings" w:hint="default"/>
      </w:rPr>
    </w:lvl>
    <w:lvl w:ilvl="6" w:tplc="04090001" w:tentative="1">
      <w:start w:val="1"/>
      <w:numFmt w:val="bullet"/>
      <w:lvlText w:val=""/>
      <w:lvlJc w:val="left"/>
      <w:pPr>
        <w:ind w:left="6277" w:hanging="360"/>
      </w:pPr>
      <w:rPr>
        <w:rFonts w:ascii="Symbol" w:hAnsi="Symbol" w:hint="default"/>
      </w:rPr>
    </w:lvl>
    <w:lvl w:ilvl="7" w:tplc="04090003" w:tentative="1">
      <w:start w:val="1"/>
      <w:numFmt w:val="bullet"/>
      <w:lvlText w:val="o"/>
      <w:lvlJc w:val="left"/>
      <w:pPr>
        <w:ind w:left="6997" w:hanging="360"/>
      </w:pPr>
      <w:rPr>
        <w:rFonts w:ascii="Courier New" w:hAnsi="Courier New" w:cs="Courier New" w:hint="default"/>
      </w:rPr>
    </w:lvl>
    <w:lvl w:ilvl="8" w:tplc="04090005" w:tentative="1">
      <w:start w:val="1"/>
      <w:numFmt w:val="bullet"/>
      <w:lvlText w:val=""/>
      <w:lvlJc w:val="left"/>
      <w:pPr>
        <w:ind w:left="771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61"/>
    <w:rsid w:val="00125F61"/>
    <w:rsid w:val="001C6F92"/>
    <w:rsid w:val="00345AF5"/>
    <w:rsid w:val="00583768"/>
    <w:rsid w:val="0091190C"/>
    <w:rsid w:val="00926BCD"/>
    <w:rsid w:val="00A537F3"/>
    <w:rsid w:val="00BF7106"/>
    <w:rsid w:val="00D26E4D"/>
    <w:rsid w:val="00E230C0"/>
    <w:rsid w:val="00EA4BA4"/>
    <w:rsid w:val="00EB7301"/>
    <w:rsid w:val="00EE0187"/>
    <w:rsid w:val="00EF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0DEE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25F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61"/>
    <w:pPr>
      <w:ind w:left="720"/>
      <w:contextualSpacing/>
    </w:pPr>
  </w:style>
  <w:style w:type="table" w:styleId="TableGrid">
    <w:name w:val="Table Grid"/>
    <w:basedOn w:val="TableNormal"/>
    <w:uiPriority w:val="39"/>
    <w:rsid w:val="00125F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90C"/>
    <w:pPr>
      <w:tabs>
        <w:tab w:val="center" w:pos="4680"/>
        <w:tab w:val="right" w:pos="9360"/>
      </w:tabs>
    </w:pPr>
  </w:style>
  <w:style w:type="character" w:customStyle="1" w:styleId="HeaderChar">
    <w:name w:val="Header Char"/>
    <w:basedOn w:val="DefaultParagraphFont"/>
    <w:link w:val="Header"/>
    <w:uiPriority w:val="99"/>
    <w:rsid w:val="0091190C"/>
    <w:rPr>
      <w:sz w:val="22"/>
      <w:szCs w:val="22"/>
    </w:rPr>
  </w:style>
  <w:style w:type="paragraph" w:styleId="Footer">
    <w:name w:val="footer"/>
    <w:basedOn w:val="Normal"/>
    <w:link w:val="FooterChar"/>
    <w:uiPriority w:val="99"/>
    <w:unhideWhenUsed/>
    <w:rsid w:val="0091190C"/>
    <w:pPr>
      <w:tabs>
        <w:tab w:val="center" w:pos="4680"/>
        <w:tab w:val="right" w:pos="9360"/>
      </w:tabs>
    </w:pPr>
  </w:style>
  <w:style w:type="character" w:customStyle="1" w:styleId="FooterChar">
    <w:name w:val="Footer Char"/>
    <w:basedOn w:val="DefaultParagraphFont"/>
    <w:link w:val="Footer"/>
    <w:uiPriority w:val="99"/>
    <w:rsid w:val="0091190C"/>
    <w:rPr>
      <w:sz w:val="22"/>
      <w:szCs w:val="22"/>
    </w:rPr>
  </w:style>
  <w:style w:type="paragraph" w:styleId="BalloonText">
    <w:name w:val="Balloon Text"/>
    <w:basedOn w:val="Normal"/>
    <w:link w:val="BalloonTextChar"/>
    <w:uiPriority w:val="99"/>
    <w:semiHidden/>
    <w:unhideWhenUsed/>
    <w:rsid w:val="00D26E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E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1975-CE30-1549-8741-C793F8A9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1768</Characters>
  <Application>Microsoft Office Word</Application>
  <DocSecurity>0</DocSecurity>
  <Lines>60</Lines>
  <Paragraphs>15</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DeFino</dc:creator>
  <cp:keywords/>
  <dc:description/>
  <cp:lastModifiedBy>Emily Kleinman</cp:lastModifiedBy>
  <cp:revision>6</cp:revision>
  <dcterms:created xsi:type="dcterms:W3CDTF">2019-08-09T16:29:00Z</dcterms:created>
  <dcterms:modified xsi:type="dcterms:W3CDTF">2019-09-25T13:54:00Z</dcterms:modified>
</cp:coreProperties>
</file>