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F5BA" w14:textId="77777777" w:rsidR="00806FF9" w:rsidRPr="00806FF9" w:rsidRDefault="00806FF9" w:rsidP="00806FF9">
      <w:pPr>
        <w:pStyle w:val="NoSpacing"/>
        <w:rPr>
          <w:sz w:val="2"/>
          <w:szCs w:val="2"/>
        </w:rPr>
      </w:pPr>
    </w:p>
    <w:p w14:paraId="307C724D" w14:textId="45E64D05" w:rsidR="00806FF9" w:rsidRPr="00806FF9" w:rsidRDefault="00806FF9" w:rsidP="00806FF9">
      <w:pPr>
        <w:pStyle w:val="Heading1"/>
        <w:spacing w:before="120" w:after="120" w:line="276" w:lineRule="auto"/>
        <w:rPr>
          <w:noProof/>
          <w:sz w:val="44"/>
          <w:szCs w:val="44"/>
        </w:rPr>
      </w:pPr>
      <w:r w:rsidRPr="00806FF9">
        <w:rPr>
          <w:noProof/>
          <w:sz w:val="44"/>
          <w:szCs w:val="44"/>
        </w:rPr>
        <w:t>Learning Mindsets</w:t>
      </w:r>
      <w:r>
        <w:rPr>
          <w:noProof/>
          <w:sz w:val="44"/>
          <w:szCs w:val="44"/>
        </w:rPr>
        <w:t xml:space="preserve"> Self-Assessment</w:t>
      </w:r>
    </w:p>
    <w:tbl>
      <w:tblPr>
        <w:tblpPr w:leftFromText="180" w:rightFromText="180" w:vertAnchor="page" w:horzAnchor="margin" w:tblpY="2572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4"/>
        <w:gridCol w:w="7055"/>
        <w:gridCol w:w="1260"/>
        <w:gridCol w:w="1262"/>
        <w:gridCol w:w="1265"/>
        <w:gridCol w:w="1260"/>
      </w:tblGrid>
      <w:tr w:rsidR="00806FF9" w:rsidRPr="0090723A" w14:paraId="1E9EA197" w14:textId="77777777" w:rsidTr="0000598B">
        <w:trPr>
          <w:trHeight w:val="360"/>
        </w:trPr>
        <w:tc>
          <w:tcPr>
            <w:tcW w:w="523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63EEE7" w14:textId="77777777" w:rsidR="00806FF9" w:rsidRPr="00862DD4" w:rsidRDefault="00806FF9" w:rsidP="0000598B">
            <w:pPr>
              <w:spacing w:after="0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862DD4">
              <w:rPr>
                <w:rFonts w:ascii="Rockwell" w:hAnsi="Rockwell"/>
                <w:b/>
                <w:sz w:val="24"/>
                <w:szCs w:val="24"/>
              </w:rPr>
              <w:t>Learning Mindset</w:t>
            </w:r>
          </w:p>
        </w:tc>
        <w:tc>
          <w:tcPr>
            <w:tcW w:w="2610" w:type="pct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2D0EB70" w14:textId="77777777" w:rsidR="00806FF9" w:rsidRPr="00862DD4" w:rsidRDefault="00806FF9" w:rsidP="0000598B">
            <w:pPr>
              <w:spacing w:after="0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862DD4">
              <w:rPr>
                <w:rFonts w:ascii="Rockwell" w:hAnsi="Rockwell"/>
                <w:b/>
                <w:sz w:val="24"/>
                <w:szCs w:val="24"/>
              </w:rPr>
              <w:t>What might it look like to develop this?</w:t>
            </w:r>
          </w:p>
        </w:tc>
        <w:tc>
          <w:tcPr>
            <w:tcW w:w="1867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3E4E129" w14:textId="77777777" w:rsidR="00806FF9" w:rsidRPr="003D4EE4" w:rsidRDefault="00806FF9" w:rsidP="0000598B">
            <w:pPr>
              <w:spacing w:after="0"/>
              <w:jc w:val="center"/>
              <w:rPr>
                <w:rFonts w:ascii="Rockwell" w:hAnsi="Rockwell"/>
                <w:b/>
                <w:sz w:val="28"/>
              </w:rPr>
            </w:pPr>
            <w:r w:rsidRPr="003D4EE4">
              <w:rPr>
                <w:rFonts w:ascii="Rockwell" w:hAnsi="Rockwell"/>
                <w:b/>
                <w:sz w:val="28"/>
              </w:rPr>
              <w:t>Self-Assess</w:t>
            </w:r>
          </w:p>
        </w:tc>
      </w:tr>
      <w:tr w:rsidR="00806FF9" w:rsidRPr="0090723A" w14:paraId="5E32C9CD" w14:textId="77777777" w:rsidTr="0000598B">
        <w:trPr>
          <w:trHeight w:val="314"/>
        </w:trPr>
        <w:tc>
          <w:tcPr>
            <w:tcW w:w="52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BDBD"/>
          </w:tcPr>
          <w:p w14:paraId="46A9D11B" w14:textId="77777777" w:rsidR="00806FF9" w:rsidRPr="00862DD4" w:rsidRDefault="00806FF9" w:rsidP="0000598B">
            <w:pPr>
              <w:spacing w:after="0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261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BDB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7DBEF" w14:textId="77777777" w:rsidR="00806FF9" w:rsidRPr="00862DD4" w:rsidRDefault="00806FF9" w:rsidP="0000598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8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D4D6BF1" w14:textId="77777777" w:rsidR="00806FF9" w:rsidRPr="00806FF9" w:rsidRDefault="00806FF9" w:rsidP="0000598B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806FF9">
              <w:rPr>
                <w:b/>
                <w:sz w:val="21"/>
                <w:szCs w:val="21"/>
              </w:rPr>
              <w:t xml:space="preserve">About how often is each practice present in your work with students?     </w:t>
            </w:r>
          </w:p>
        </w:tc>
      </w:tr>
      <w:tr w:rsidR="00806FF9" w:rsidRPr="0090723A" w14:paraId="37FB3007" w14:textId="77777777" w:rsidTr="0000598B">
        <w:trPr>
          <w:trHeight w:val="314"/>
        </w:trPr>
        <w:tc>
          <w:tcPr>
            <w:tcW w:w="523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4BDBD"/>
          </w:tcPr>
          <w:p w14:paraId="5D74A1BA" w14:textId="77777777" w:rsidR="00806FF9" w:rsidRPr="00862DD4" w:rsidRDefault="00806FF9" w:rsidP="0000598B">
            <w:pPr>
              <w:spacing w:after="0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2610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4BDB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D37C2" w14:textId="77777777" w:rsidR="00806FF9" w:rsidRPr="00862DD4" w:rsidRDefault="00806FF9" w:rsidP="0000598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00E97E" w14:textId="77777777" w:rsidR="00806FF9" w:rsidRPr="00457501" w:rsidRDefault="00806FF9" w:rsidP="0000598B">
            <w:pPr>
              <w:spacing w:after="0"/>
              <w:jc w:val="center"/>
              <w:rPr>
                <w:sz w:val="18"/>
                <w:szCs w:val="18"/>
              </w:rPr>
            </w:pPr>
            <w:r w:rsidRPr="00457501">
              <w:rPr>
                <w:sz w:val="18"/>
                <w:szCs w:val="18"/>
              </w:rPr>
              <w:t>4 = Every day or almost every day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10A3C5A" w14:textId="77777777" w:rsidR="00806FF9" w:rsidRPr="00457501" w:rsidRDefault="00806FF9" w:rsidP="0000598B">
            <w:pPr>
              <w:spacing w:after="0"/>
              <w:jc w:val="center"/>
              <w:rPr>
                <w:sz w:val="18"/>
                <w:szCs w:val="18"/>
              </w:rPr>
            </w:pPr>
            <w:r w:rsidRPr="00457501">
              <w:rPr>
                <w:sz w:val="18"/>
                <w:szCs w:val="18"/>
              </w:rPr>
              <w:t xml:space="preserve">3 = </w:t>
            </w:r>
            <w:r>
              <w:rPr>
                <w:sz w:val="18"/>
                <w:szCs w:val="18"/>
              </w:rPr>
              <w:t>Once or twice a week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B9F74E" w14:textId="77777777" w:rsidR="00806FF9" w:rsidRPr="00457501" w:rsidRDefault="00806FF9" w:rsidP="0000598B">
            <w:pPr>
              <w:spacing w:after="0"/>
              <w:jc w:val="center"/>
              <w:rPr>
                <w:sz w:val="18"/>
                <w:szCs w:val="18"/>
              </w:rPr>
            </w:pPr>
            <w:r w:rsidRPr="00457501">
              <w:rPr>
                <w:sz w:val="18"/>
                <w:szCs w:val="18"/>
              </w:rPr>
              <w:t xml:space="preserve">2 = </w:t>
            </w:r>
            <w:r>
              <w:rPr>
                <w:sz w:val="18"/>
                <w:szCs w:val="18"/>
              </w:rPr>
              <w:t>Once or twice a month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9511E0F" w14:textId="77777777" w:rsidR="00806FF9" w:rsidRPr="00457501" w:rsidRDefault="00806FF9" w:rsidP="0000598B">
            <w:pPr>
              <w:spacing w:after="0"/>
              <w:jc w:val="center"/>
              <w:rPr>
                <w:sz w:val="18"/>
                <w:szCs w:val="18"/>
              </w:rPr>
            </w:pPr>
            <w:r w:rsidRPr="00457501">
              <w:rPr>
                <w:sz w:val="18"/>
                <w:szCs w:val="18"/>
              </w:rPr>
              <w:t>1 = Rarely if at all</w:t>
            </w:r>
          </w:p>
        </w:tc>
      </w:tr>
      <w:tr w:rsidR="00806FF9" w:rsidRPr="0090723A" w14:paraId="5BF03F6B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A6E508A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Growth Mindset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4895D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b/>
                <w:sz w:val="20"/>
                <w:szCs w:val="20"/>
              </w:rPr>
              <w:t>Struggle is framed as a normal</w:t>
            </w:r>
            <w:r w:rsidRPr="00806FF9">
              <w:rPr>
                <w:sz w:val="20"/>
                <w:szCs w:val="20"/>
              </w:rPr>
              <w:t xml:space="preserve"> and encouraged part of learning, and space is given for students to grapple productively with complex ideas.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67658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70BB2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8A412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66B42D9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2261E46E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ABDDBBE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Growth Mindset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A3C2C4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sz w:val="20"/>
                <w:szCs w:val="20"/>
              </w:rPr>
              <w:t xml:space="preserve">Students are given </w:t>
            </w:r>
            <w:r w:rsidRPr="00806FF9">
              <w:rPr>
                <w:b/>
                <w:sz w:val="20"/>
                <w:szCs w:val="20"/>
              </w:rPr>
              <w:t>regular opportunities to revise</w:t>
            </w:r>
            <w:r w:rsidRPr="008A739A">
              <w:rPr>
                <w:sz w:val="20"/>
                <w:szCs w:val="20"/>
              </w:rPr>
              <w:t>,</w:t>
            </w:r>
            <w:r w:rsidRPr="00806FF9">
              <w:rPr>
                <w:sz w:val="20"/>
                <w:szCs w:val="20"/>
              </w:rPr>
              <w:t xml:space="preserve"> and feedback is seen as a chance to learn.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73C2A1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FE63C5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648C5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9627CFE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67F8E6EE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08526BB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Growth Mindset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2B9473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b/>
                <w:sz w:val="20"/>
                <w:szCs w:val="20"/>
              </w:rPr>
              <w:t>Praise is given for progress and effort</w:t>
            </w:r>
            <w:r w:rsidRPr="00806FF9">
              <w:rPr>
                <w:sz w:val="20"/>
                <w:szCs w:val="20"/>
              </w:rPr>
              <w:t xml:space="preserve">, and feedback highlights both good strategies to keep and ways to continually improve.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AC251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2D5C4B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3A6BF0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14B7CA1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7DA99783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2C02C60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Growth Mindset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7338A4" w14:textId="77777777" w:rsidR="00806FF9" w:rsidRPr="00806FF9" w:rsidRDefault="00806FF9" w:rsidP="0000598B">
            <w:pPr>
              <w:spacing w:after="0"/>
              <w:rPr>
                <w:b/>
                <w:sz w:val="20"/>
                <w:szCs w:val="20"/>
              </w:rPr>
            </w:pPr>
            <w:r w:rsidRPr="00806FF9">
              <w:rPr>
                <w:sz w:val="20"/>
                <w:szCs w:val="20"/>
              </w:rPr>
              <w:t xml:space="preserve">Students are encouraged to </w:t>
            </w:r>
            <w:r w:rsidRPr="00806FF9">
              <w:rPr>
                <w:b/>
                <w:sz w:val="20"/>
                <w:szCs w:val="20"/>
              </w:rPr>
              <w:t>find more than one path</w:t>
            </w:r>
            <w:r w:rsidRPr="00806FF9">
              <w:rPr>
                <w:sz w:val="20"/>
                <w:szCs w:val="20"/>
              </w:rPr>
              <w:t xml:space="preserve"> to a given goal or solution.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0B648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6DC5AB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44FEF9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EF665BB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4324CD28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E268209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Growth Mindset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578070" w14:textId="77777777" w:rsidR="00806FF9" w:rsidRPr="00806FF9" w:rsidRDefault="00806FF9" w:rsidP="0000598B">
            <w:pPr>
              <w:spacing w:after="0"/>
              <w:rPr>
                <w:b/>
                <w:sz w:val="20"/>
                <w:szCs w:val="20"/>
              </w:rPr>
            </w:pPr>
            <w:r w:rsidRPr="00806FF9">
              <w:rPr>
                <w:b/>
                <w:sz w:val="20"/>
                <w:szCs w:val="20"/>
              </w:rPr>
              <w:t>Setbacks are seen as normal</w:t>
            </w:r>
            <w:r w:rsidRPr="00806FF9">
              <w:rPr>
                <w:sz w:val="20"/>
                <w:szCs w:val="20"/>
              </w:rPr>
              <w:t xml:space="preserve"> and as an opportunity for creative problem solving.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E73B8D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47B85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37B5A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D8003F6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3ADCD533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75DF5ABC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Value for Learning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A8CB05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sz w:val="20"/>
                <w:szCs w:val="20"/>
              </w:rPr>
              <w:t xml:space="preserve">Student have regular opportunities to </w:t>
            </w:r>
            <w:r w:rsidRPr="00806FF9">
              <w:rPr>
                <w:b/>
                <w:sz w:val="20"/>
                <w:szCs w:val="20"/>
              </w:rPr>
              <w:t>make choices about their own learning</w:t>
            </w:r>
            <w:r w:rsidRPr="00806FF9">
              <w:rPr>
                <w:sz w:val="20"/>
                <w:szCs w:val="20"/>
              </w:rPr>
              <w:t xml:space="preserve"> and goals.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8147E0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AF13AC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928946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7A90976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7B27748F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44EBDD7E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Value for Learning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9D0E0E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sz w:val="20"/>
                <w:szCs w:val="20"/>
              </w:rPr>
              <w:t xml:space="preserve">Authentic and engaging content encourages students to </w:t>
            </w:r>
            <w:r w:rsidRPr="00806FF9">
              <w:rPr>
                <w:b/>
                <w:sz w:val="20"/>
                <w:szCs w:val="20"/>
              </w:rPr>
              <w:t>make connections to their own live</w:t>
            </w:r>
            <w:r w:rsidRPr="008A739A">
              <w:rPr>
                <w:b/>
                <w:sz w:val="20"/>
                <w:szCs w:val="20"/>
              </w:rPr>
              <w:t>s</w:t>
            </w:r>
            <w:r w:rsidRPr="00806FF9">
              <w:rPr>
                <w:sz w:val="20"/>
                <w:szCs w:val="20"/>
              </w:rPr>
              <w:t xml:space="preserve">, articulate for themselves </w:t>
            </w:r>
            <w:r w:rsidRPr="00806FF9">
              <w:rPr>
                <w:b/>
                <w:sz w:val="20"/>
                <w:szCs w:val="20"/>
              </w:rPr>
              <w:t>why the learning matters to them</w:t>
            </w:r>
            <w:r w:rsidRPr="00806FF9">
              <w:rPr>
                <w:sz w:val="20"/>
                <w:szCs w:val="20"/>
              </w:rPr>
              <w:t xml:space="preserve">, and cultivate intrinsic value for learning.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30FC69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50335E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F7438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1AA3E5F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571D0502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4F9FC"/>
            <w:vAlign w:val="center"/>
          </w:tcPr>
          <w:p w14:paraId="33AF9F0B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Sense of Belonging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4F9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52935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b/>
                <w:sz w:val="20"/>
                <w:szCs w:val="20"/>
              </w:rPr>
              <w:t>Adults build positive relationships with students</w:t>
            </w:r>
            <w:r w:rsidRPr="00806FF9">
              <w:rPr>
                <w:sz w:val="20"/>
                <w:szCs w:val="20"/>
              </w:rPr>
              <w:t>, in which each student feels that everyone in the room believes he or she can learn and succeed.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70BAC9A4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48D68E4A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6A1D9482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4F9FC"/>
            <w:vAlign w:val="center"/>
          </w:tcPr>
          <w:p w14:paraId="0BD72116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806FF9" w:rsidRPr="0090723A" w14:paraId="58CD8CE3" w14:textId="77777777" w:rsidTr="0000598B">
        <w:trPr>
          <w:trHeight w:val="647"/>
        </w:trPr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4F9FC"/>
            <w:vAlign w:val="center"/>
          </w:tcPr>
          <w:p w14:paraId="0F560A87" w14:textId="77777777" w:rsidR="00806FF9" w:rsidRPr="00806FF9" w:rsidRDefault="00806FF9" w:rsidP="0000598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806FF9">
              <w:rPr>
                <w:b/>
                <w:i/>
                <w:sz w:val="20"/>
                <w:szCs w:val="20"/>
              </w:rPr>
              <w:t>Sense of Belonging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E4F9F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DE86A0" w14:textId="77777777" w:rsidR="00806FF9" w:rsidRPr="00806FF9" w:rsidRDefault="00806FF9" w:rsidP="0000598B">
            <w:pPr>
              <w:spacing w:after="0"/>
              <w:rPr>
                <w:sz w:val="20"/>
                <w:szCs w:val="20"/>
              </w:rPr>
            </w:pPr>
            <w:r w:rsidRPr="00806FF9">
              <w:rPr>
                <w:sz w:val="20"/>
                <w:szCs w:val="20"/>
              </w:rPr>
              <w:t xml:space="preserve">Classes provide a </w:t>
            </w:r>
            <w:r w:rsidRPr="00806FF9">
              <w:rPr>
                <w:b/>
                <w:sz w:val="20"/>
                <w:szCs w:val="20"/>
              </w:rPr>
              <w:t>nurturing environment for students to take risks</w:t>
            </w:r>
            <w:r w:rsidRPr="00806FF9">
              <w:rPr>
                <w:sz w:val="20"/>
                <w:szCs w:val="20"/>
              </w:rPr>
              <w:t>, raise questions, and try new ideas.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5DDFA10F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67329CE1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9FC"/>
            <w:vAlign w:val="center"/>
          </w:tcPr>
          <w:p w14:paraId="1BB95B2D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4F9FC"/>
            <w:vAlign w:val="center"/>
          </w:tcPr>
          <w:p w14:paraId="30EB955B" w14:textId="77777777" w:rsidR="00806FF9" w:rsidRPr="00982B86" w:rsidRDefault="00806FF9" w:rsidP="0000598B">
            <w:pPr>
              <w:spacing w:after="0"/>
              <w:ind w:left="360"/>
              <w:rPr>
                <w:sz w:val="21"/>
                <w:szCs w:val="21"/>
              </w:rPr>
            </w:pPr>
          </w:p>
        </w:tc>
      </w:tr>
    </w:tbl>
    <w:p w14:paraId="4B688D81" w14:textId="027AA737" w:rsidR="00EE219D" w:rsidRPr="00806FF9" w:rsidRDefault="00EE219D" w:rsidP="00806FF9">
      <w:pPr>
        <w:rPr>
          <w:sz w:val="2"/>
          <w:szCs w:val="2"/>
        </w:rPr>
      </w:pPr>
      <w:bookmarkStart w:id="0" w:name="_GoBack"/>
      <w:bookmarkEnd w:id="0"/>
    </w:p>
    <w:sectPr w:rsidR="00EE219D" w:rsidRPr="00806FF9" w:rsidSect="003662EE">
      <w:headerReference w:type="default" r:id="rId8"/>
      <w:footerReference w:type="default" r:id="rId9"/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77F2" w14:textId="77777777" w:rsidR="00676805" w:rsidRDefault="00676805" w:rsidP="002B5463">
      <w:pPr>
        <w:spacing w:after="0" w:line="240" w:lineRule="auto"/>
      </w:pPr>
      <w:r>
        <w:separator/>
      </w:r>
    </w:p>
  </w:endnote>
  <w:endnote w:type="continuationSeparator" w:id="0">
    <w:p w14:paraId="548107B0" w14:textId="77777777" w:rsidR="00676805" w:rsidRDefault="00676805" w:rsidP="002B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altName w:val="Sitka Small"/>
    <w:panose1 w:val="02060603020205020403"/>
    <w:charset w:val="4D"/>
    <w:family w:val="roman"/>
    <w:pitch w:val="variable"/>
    <w:sig w:usb0="00000003" w:usb1="0000000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0BAA" w14:textId="11970871" w:rsidR="00806FF9" w:rsidRPr="00806FF9" w:rsidRDefault="00806FF9" w:rsidP="00806FF9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BBAD" w14:textId="77777777" w:rsidR="00676805" w:rsidRDefault="00676805" w:rsidP="002B5463">
      <w:pPr>
        <w:spacing w:after="0" w:line="240" w:lineRule="auto"/>
      </w:pPr>
      <w:r>
        <w:separator/>
      </w:r>
    </w:p>
  </w:footnote>
  <w:footnote w:type="continuationSeparator" w:id="0">
    <w:p w14:paraId="4FB49570" w14:textId="77777777" w:rsidR="00676805" w:rsidRDefault="00676805" w:rsidP="002B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646C" w14:textId="1C310E8E" w:rsidR="00874F59" w:rsidRDefault="00806FF9" w:rsidP="00874F59">
    <w:pPr>
      <w:pStyle w:val="Header"/>
      <w:rPr>
        <w:sz w:val="16"/>
        <w:szCs w:val="16"/>
      </w:rPr>
    </w:pPr>
    <w:r w:rsidRPr="005F222B">
      <w:rPr>
        <w:rFonts w:ascii="Rockwell" w:hAnsi="Rockwell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E70E8" wp14:editId="7A724308">
              <wp:simplePos x="0" y="0"/>
              <wp:positionH relativeFrom="column">
                <wp:posOffset>-796833</wp:posOffset>
              </wp:positionH>
              <wp:positionV relativeFrom="paragraph">
                <wp:posOffset>-470263</wp:posOffset>
              </wp:positionV>
              <wp:extent cx="10139408" cy="94869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9408" cy="9486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39BCF" id="Rectangle 2" o:spid="_x0000_s1026" style="position:absolute;margin-left:-62.75pt;margin-top:-37.05pt;width:798.4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" fillcolor="#a5a5a5 [3206]" stroked="f" strokeweight="1pt"/>
          </w:pict>
        </mc:Fallback>
      </mc:AlternateContent>
    </w:r>
    <w:r w:rsidRPr="00442195">
      <w:rPr>
        <w:rFonts w:ascii="Rockwell" w:hAnsi="Rockwell"/>
        <w:b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176B068E" wp14:editId="4B2C5560">
          <wp:simplePos x="0" y="0"/>
          <wp:positionH relativeFrom="column">
            <wp:posOffset>7528651</wp:posOffset>
          </wp:positionH>
          <wp:positionV relativeFrom="paragraph">
            <wp:posOffset>-142240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F59">
      <w:rPr>
        <w:sz w:val="16"/>
        <w:szCs w:val="16"/>
      </w:rPr>
      <w:t>LEARNING MINDSET</w:t>
    </w:r>
    <w:r>
      <w:rPr>
        <w:sz w:val="16"/>
        <w:szCs w:val="16"/>
      </w:rPr>
      <w:t xml:space="preserve">S </w:t>
    </w:r>
    <w:r w:rsidR="00874F59">
      <w:rPr>
        <w:sz w:val="16"/>
        <w:szCs w:val="16"/>
      </w:rPr>
      <w:t>1</w:t>
    </w:r>
  </w:p>
  <w:p w14:paraId="46D88F22" w14:textId="201119EE" w:rsidR="002B5463" w:rsidRPr="00806FF9" w:rsidRDefault="002B5463" w:rsidP="00874F59">
    <w:pPr>
      <w:pStyle w:val="Header"/>
      <w:rPr>
        <w:b/>
        <w:sz w:val="20"/>
        <w:szCs w:val="20"/>
      </w:rPr>
    </w:pPr>
    <w:r w:rsidRPr="00806FF9">
      <w:rPr>
        <w:b/>
        <w:sz w:val="20"/>
        <w:szCs w:val="20"/>
      </w:rPr>
      <w:t xml:space="preserve">An Introduction to Mindsets </w:t>
    </w:r>
    <w:r w:rsidR="00D3527F">
      <w:rPr>
        <w:b/>
        <w:sz w:val="20"/>
        <w:szCs w:val="20"/>
      </w:rPr>
      <w:t>b</w:t>
    </w:r>
    <w:r w:rsidR="00F3030C" w:rsidRPr="00806FF9">
      <w:rPr>
        <w:b/>
        <w:sz w:val="20"/>
        <w:szCs w:val="20"/>
      </w:rPr>
      <w:t xml:space="preserve">ehind </w:t>
    </w:r>
    <w:r w:rsidRPr="00806FF9">
      <w:rPr>
        <w:b/>
        <w:sz w:val="20"/>
        <w:szCs w:val="20"/>
      </w:rPr>
      <w:t xml:space="preserve">Academic </w:t>
    </w:r>
    <w:r w:rsidR="00F3030C" w:rsidRPr="00806FF9">
      <w:rPr>
        <w:b/>
        <w:sz w:val="20"/>
        <w:szCs w:val="20"/>
      </w:rPr>
      <w:t>Success</w:t>
    </w:r>
    <w:r w:rsidRPr="00806FF9">
      <w:rPr>
        <w:b/>
        <w:sz w:val="20"/>
        <w:szCs w:val="20"/>
      </w:rPr>
      <w:t xml:space="preserve"> </w:t>
    </w:r>
  </w:p>
  <w:p w14:paraId="14225C97" w14:textId="6AE06D8C" w:rsidR="002B5463" w:rsidRPr="00874F59" w:rsidRDefault="00F3030C" w:rsidP="00874F59">
    <w:pPr>
      <w:pStyle w:val="Header"/>
      <w:rPr>
        <w:rFonts w:asciiTheme="majorHAnsi" w:hAnsiTheme="majorHAnsi" w:cstheme="majorHAnsi"/>
        <w:sz w:val="20"/>
        <w:szCs w:val="20"/>
      </w:rPr>
    </w:pPr>
    <w:r w:rsidRPr="00874F59">
      <w:rPr>
        <w:rFonts w:asciiTheme="majorHAnsi" w:hAnsiTheme="majorHAnsi" w:cstheme="majorHAnsi"/>
        <w:sz w:val="20"/>
        <w:szCs w:val="20"/>
      </w:rPr>
      <w:t>Learning Mindsets</w:t>
    </w:r>
    <w:r w:rsidR="002B5463" w:rsidRPr="00874F59">
      <w:rPr>
        <w:rFonts w:asciiTheme="majorHAnsi" w:hAnsiTheme="majorHAnsi" w:cstheme="majorHAnsi"/>
        <w:sz w:val="20"/>
        <w:szCs w:val="20"/>
      </w:rP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D11"/>
    <w:multiLevelType w:val="hybridMultilevel"/>
    <w:tmpl w:val="04A478FA"/>
    <w:lvl w:ilvl="0" w:tplc="41EC64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681"/>
    <w:multiLevelType w:val="hybridMultilevel"/>
    <w:tmpl w:val="720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C74"/>
    <w:multiLevelType w:val="hybridMultilevel"/>
    <w:tmpl w:val="1C6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7436"/>
    <w:multiLevelType w:val="hybridMultilevel"/>
    <w:tmpl w:val="0FE6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6019"/>
    <w:multiLevelType w:val="hybridMultilevel"/>
    <w:tmpl w:val="D43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3A"/>
    <w:rsid w:val="000611BB"/>
    <w:rsid w:val="00093FD2"/>
    <w:rsid w:val="000D5D27"/>
    <w:rsid w:val="00116FB8"/>
    <w:rsid w:val="001B4C57"/>
    <w:rsid w:val="00206C20"/>
    <w:rsid w:val="00253B32"/>
    <w:rsid w:val="002B5463"/>
    <w:rsid w:val="002E7BD4"/>
    <w:rsid w:val="00313E0A"/>
    <w:rsid w:val="0033075D"/>
    <w:rsid w:val="00347446"/>
    <w:rsid w:val="00353361"/>
    <w:rsid w:val="003662EE"/>
    <w:rsid w:val="00366EC9"/>
    <w:rsid w:val="003A12F6"/>
    <w:rsid w:val="003A5329"/>
    <w:rsid w:val="003A682E"/>
    <w:rsid w:val="003D4EE4"/>
    <w:rsid w:val="003D78B4"/>
    <w:rsid w:val="004245FE"/>
    <w:rsid w:val="00457501"/>
    <w:rsid w:val="00490346"/>
    <w:rsid w:val="00524F95"/>
    <w:rsid w:val="00553F83"/>
    <w:rsid w:val="005A7758"/>
    <w:rsid w:val="005D704C"/>
    <w:rsid w:val="00623D0B"/>
    <w:rsid w:val="00635EC2"/>
    <w:rsid w:val="006720C8"/>
    <w:rsid w:val="00676805"/>
    <w:rsid w:val="006B5BD5"/>
    <w:rsid w:val="00707840"/>
    <w:rsid w:val="00774ADD"/>
    <w:rsid w:val="007F56BD"/>
    <w:rsid w:val="00802F5A"/>
    <w:rsid w:val="00806FF9"/>
    <w:rsid w:val="00822866"/>
    <w:rsid w:val="00862DD4"/>
    <w:rsid w:val="00874F59"/>
    <w:rsid w:val="008846D6"/>
    <w:rsid w:val="008A739A"/>
    <w:rsid w:val="008A74A5"/>
    <w:rsid w:val="0090723A"/>
    <w:rsid w:val="00982B86"/>
    <w:rsid w:val="00A456C8"/>
    <w:rsid w:val="00A6656D"/>
    <w:rsid w:val="00A8783C"/>
    <w:rsid w:val="00AA297B"/>
    <w:rsid w:val="00AB0B05"/>
    <w:rsid w:val="00AC79C8"/>
    <w:rsid w:val="00B93216"/>
    <w:rsid w:val="00B93EE4"/>
    <w:rsid w:val="00C15BD7"/>
    <w:rsid w:val="00C47F61"/>
    <w:rsid w:val="00CB21E5"/>
    <w:rsid w:val="00CE2E2D"/>
    <w:rsid w:val="00D3527F"/>
    <w:rsid w:val="00D56976"/>
    <w:rsid w:val="00D72DEA"/>
    <w:rsid w:val="00DB7AF0"/>
    <w:rsid w:val="00DC3657"/>
    <w:rsid w:val="00DC6A51"/>
    <w:rsid w:val="00E80031"/>
    <w:rsid w:val="00EC5234"/>
    <w:rsid w:val="00EE219D"/>
    <w:rsid w:val="00F2139D"/>
    <w:rsid w:val="00F3030C"/>
    <w:rsid w:val="00F81D20"/>
    <w:rsid w:val="00F94E55"/>
    <w:rsid w:val="00FD3ED7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B22A"/>
  <w15:chartTrackingRefBased/>
  <w15:docId w15:val="{D45CABCF-3798-4116-BA97-C74AF028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FF9"/>
    <w:pPr>
      <w:keepNext/>
      <w:keepLines/>
      <w:spacing w:before="360" w:line="240" w:lineRule="auto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6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06FF9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NoSpacing">
    <w:name w:val="No Spacing"/>
    <w:uiPriority w:val="1"/>
    <w:qFormat/>
    <w:rsid w:val="00806FF9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8A739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9EDFB6-2BB1-9F4B-BB16-5042F23A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Wolcott</dc:creator>
  <cp:keywords/>
  <dc:description/>
  <cp:lastModifiedBy>Emma Werowinski</cp:lastModifiedBy>
  <cp:revision>3</cp:revision>
  <cp:lastPrinted>2016-09-19T15:15:00Z</cp:lastPrinted>
  <dcterms:created xsi:type="dcterms:W3CDTF">2019-08-28T16:47:00Z</dcterms:created>
  <dcterms:modified xsi:type="dcterms:W3CDTF">2019-08-28T16:47:00Z</dcterms:modified>
</cp:coreProperties>
</file>